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F03" w:rsidRPr="00256B5F" w:rsidRDefault="00256B5F" w:rsidP="00D47F03">
      <w:pPr>
        <w:pStyle w:val="Header"/>
        <w:rPr>
          <w:b/>
          <w:bCs/>
          <w:color w:val="CC0000"/>
          <w:sz w:val="36"/>
          <w:szCs w:val="36"/>
        </w:rPr>
      </w:pPr>
      <w:r w:rsidRPr="00256B5F">
        <w:rPr>
          <w:b/>
          <w:bCs/>
          <w:color w:val="CC0000"/>
          <w:sz w:val="36"/>
          <w:szCs w:val="36"/>
        </w:rPr>
        <w:t>PARTNERSHIPS, HYBRIDS &amp; OTHER STRUCTURES</w:t>
      </w:r>
    </w:p>
    <w:p w:rsidR="00D47F03" w:rsidRDefault="00D47F03" w:rsidP="00D47F03">
      <w:pPr>
        <w:pStyle w:val="Header"/>
        <w:tabs>
          <w:tab w:val="clear" w:pos="4153"/>
          <w:tab w:val="center" w:pos="5580"/>
        </w:tabs>
        <w:rPr>
          <w:color w:val="CC0000"/>
          <w:sz w:val="28"/>
          <w:szCs w:val="28"/>
        </w:rPr>
      </w:pPr>
    </w:p>
    <w:p w:rsidR="00D47F03" w:rsidRPr="00256B5F" w:rsidRDefault="00256B5F" w:rsidP="00D47F03">
      <w:pPr>
        <w:pStyle w:val="Heading3"/>
        <w:spacing w:before="0"/>
        <w:rPr>
          <w:rFonts w:ascii="Arial" w:hAnsi="Arial"/>
          <w:color w:val="auto"/>
          <w:sz w:val="24"/>
          <w:szCs w:val="24"/>
        </w:rPr>
      </w:pPr>
      <w:r w:rsidRPr="00256B5F">
        <w:rPr>
          <w:rFonts w:ascii="Arial" w:hAnsi="Arial"/>
          <w:color w:val="auto"/>
          <w:sz w:val="24"/>
          <w:szCs w:val="24"/>
        </w:rPr>
        <w:t>Wednesday 3 December</w:t>
      </w:r>
      <w:r w:rsidR="00D47F03" w:rsidRPr="00256B5F">
        <w:rPr>
          <w:rFonts w:ascii="Arial" w:hAnsi="Arial"/>
          <w:color w:val="auto"/>
          <w:sz w:val="24"/>
          <w:szCs w:val="24"/>
        </w:rPr>
        <w:t xml:space="preserve"> 2014</w:t>
      </w:r>
    </w:p>
    <w:p w:rsidR="00D47F03" w:rsidRPr="00256B5F" w:rsidRDefault="00256B5F" w:rsidP="00D47F03">
      <w:pPr>
        <w:pStyle w:val="Heading3"/>
        <w:spacing w:before="0"/>
        <w:rPr>
          <w:rFonts w:ascii="Arial" w:hAnsi="Arial"/>
          <w:color w:val="auto"/>
          <w:sz w:val="24"/>
          <w:szCs w:val="24"/>
        </w:rPr>
      </w:pPr>
      <w:r w:rsidRPr="00256B5F">
        <w:rPr>
          <w:rFonts w:ascii="Arial" w:hAnsi="Arial"/>
          <w:color w:val="auto"/>
          <w:sz w:val="24"/>
          <w:szCs w:val="24"/>
        </w:rPr>
        <w:t>13:30 to 16</w:t>
      </w:r>
      <w:r w:rsidR="00D47F03" w:rsidRPr="00256B5F">
        <w:rPr>
          <w:rFonts w:ascii="Arial" w:hAnsi="Arial"/>
          <w:color w:val="auto"/>
          <w:sz w:val="24"/>
          <w:szCs w:val="24"/>
        </w:rPr>
        <w:t>:30</w:t>
      </w:r>
    </w:p>
    <w:p w:rsidR="006257A3" w:rsidRPr="00256B5F" w:rsidRDefault="00D47F03" w:rsidP="00D47F03">
      <w:pPr>
        <w:pStyle w:val="Heading3"/>
        <w:spacing w:before="0"/>
        <w:rPr>
          <w:rFonts w:ascii="Arial" w:hAnsi="Arial"/>
          <w:color w:val="auto"/>
          <w:sz w:val="24"/>
          <w:szCs w:val="24"/>
        </w:rPr>
      </w:pPr>
      <w:r w:rsidRPr="00256B5F">
        <w:rPr>
          <w:rFonts w:ascii="Arial" w:hAnsi="Arial"/>
          <w:color w:val="auto"/>
          <w:sz w:val="24"/>
          <w:szCs w:val="24"/>
        </w:rPr>
        <w:t>Ramside Hall Hotel, Carrville, Durham</w:t>
      </w:r>
    </w:p>
    <w:p w:rsidR="00D47F03" w:rsidRDefault="00D47F03" w:rsidP="00551393">
      <w:pPr>
        <w:jc w:val="both"/>
        <w:rPr>
          <w:sz w:val="20"/>
          <w:szCs w:val="20"/>
        </w:rPr>
      </w:pPr>
    </w:p>
    <w:p w:rsidR="00256B5F" w:rsidRDefault="00256B5F" w:rsidP="00256B5F">
      <w:pPr>
        <w:rPr>
          <w:sz w:val="20"/>
          <w:szCs w:val="20"/>
        </w:rPr>
      </w:pPr>
      <w:r w:rsidRPr="00256B5F">
        <w:rPr>
          <w:sz w:val="20"/>
          <w:szCs w:val="20"/>
        </w:rPr>
        <w:t>Everything you ever wanted to know about structures! Well, more specifically, to provide an outline on of how the various taxes affecting traditional partnerships, companies and limited liability partnerships and combinations thereof have changed with particular emphasis on the latest tax planning opportunities in the light of the 45% tax rate, the declining corporation tax rates, the new restrictions on excessive relief for pensions and the effect of the cap on income tax reliefs, the consultation on partnerships and the GAAR.</w:t>
      </w:r>
    </w:p>
    <w:p w:rsidR="00256B5F" w:rsidRPr="00256B5F" w:rsidRDefault="00256B5F" w:rsidP="00256B5F">
      <w:pPr>
        <w:pStyle w:val="Heading3"/>
        <w:rPr>
          <w:rFonts w:ascii="Arial" w:hAnsi="Arial" w:cs="Arial"/>
          <w:sz w:val="20"/>
          <w:szCs w:val="20"/>
        </w:rPr>
      </w:pPr>
      <w:r w:rsidRPr="00256B5F">
        <w:rPr>
          <w:rFonts w:ascii="Arial" w:hAnsi="Arial" w:cs="Arial"/>
          <w:b w:val="0"/>
          <w:bCs w:val="0"/>
          <w:color w:val="auto"/>
          <w:sz w:val="20"/>
          <w:szCs w:val="20"/>
        </w:rPr>
        <w:t>This course is for all partners and staff advising clients on tax planning and compliance</w:t>
      </w:r>
      <w:r w:rsidRPr="00256B5F">
        <w:rPr>
          <w:rFonts w:ascii="Arial" w:hAnsi="Arial" w:cs="Arial"/>
          <w:b w:val="0"/>
          <w:bCs w:val="0"/>
          <w:sz w:val="20"/>
          <w:szCs w:val="20"/>
        </w:rPr>
        <w:t>.</w:t>
      </w:r>
    </w:p>
    <w:p w:rsidR="00256B5F" w:rsidRPr="00256B5F" w:rsidRDefault="00256B5F" w:rsidP="00256B5F">
      <w:pPr>
        <w:pStyle w:val="Heading3"/>
        <w:rPr>
          <w:rFonts w:ascii="Arial" w:hAnsi="Arial" w:cs="Arial"/>
          <w:color w:val="auto"/>
          <w:sz w:val="20"/>
          <w:szCs w:val="20"/>
        </w:rPr>
      </w:pPr>
      <w:r w:rsidRPr="00256B5F">
        <w:rPr>
          <w:rFonts w:ascii="Arial" w:hAnsi="Arial" w:cs="Arial"/>
          <w:color w:val="auto"/>
          <w:sz w:val="20"/>
          <w:szCs w:val="20"/>
        </w:rPr>
        <w:t>Content</w:t>
      </w:r>
    </w:p>
    <w:p w:rsidR="00256B5F" w:rsidRPr="00256B5F" w:rsidRDefault="00256B5F" w:rsidP="00256B5F">
      <w:pPr>
        <w:numPr>
          <w:ilvl w:val="0"/>
          <w:numId w:val="2"/>
        </w:numPr>
        <w:rPr>
          <w:rFonts w:cs="Arial"/>
          <w:sz w:val="20"/>
          <w:szCs w:val="20"/>
        </w:rPr>
      </w:pPr>
      <w:r w:rsidRPr="00256B5F">
        <w:rPr>
          <w:rFonts w:cs="Arial"/>
          <w:sz w:val="20"/>
          <w:szCs w:val="20"/>
        </w:rPr>
        <w:t>LLP and partnership capital gains</w:t>
      </w:r>
    </w:p>
    <w:p w:rsidR="00256B5F" w:rsidRPr="00256B5F" w:rsidRDefault="00256B5F" w:rsidP="00256B5F">
      <w:pPr>
        <w:numPr>
          <w:ilvl w:val="0"/>
          <w:numId w:val="2"/>
        </w:numPr>
        <w:rPr>
          <w:rFonts w:cs="Arial"/>
          <w:sz w:val="20"/>
          <w:szCs w:val="20"/>
        </w:rPr>
      </w:pPr>
      <w:r w:rsidRPr="00256B5F">
        <w:rPr>
          <w:rFonts w:cs="Arial"/>
          <w:sz w:val="20"/>
          <w:szCs w:val="20"/>
        </w:rPr>
        <w:t>Should we incorporate? If so, LLP or Ltd company?</w:t>
      </w:r>
    </w:p>
    <w:p w:rsidR="00256B5F" w:rsidRPr="00256B5F" w:rsidRDefault="00256B5F" w:rsidP="00256B5F">
      <w:pPr>
        <w:numPr>
          <w:ilvl w:val="0"/>
          <w:numId w:val="2"/>
        </w:numPr>
        <w:rPr>
          <w:rFonts w:cs="Arial"/>
          <w:sz w:val="20"/>
          <w:szCs w:val="20"/>
        </w:rPr>
      </w:pPr>
      <w:r w:rsidRPr="00256B5F">
        <w:rPr>
          <w:rFonts w:cs="Arial"/>
          <w:sz w:val="20"/>
          <w:szCs w:val="20"/>
        </w:rPr>
        <w:t>Treatment of hybrids, corporate partners and service companies in the light of the consultation documents on partnerships and the GAAR</w:t>
      </w:r>
    </w:p>
    <w:p w:rsidR="00256B5F" w:rsidRPr="00256B5F" w:rsidRDefault="00256B5F" w:rsidP="00256B5F">
      <w:pPr>
        <w:numPr>
          <w:ilvl w:val="0"/>
          <w:numId w:val="2"/>
        </w:numPr>
        <w:rPr>
          <w:rFonts w:cs="Arial"/>
          <w:sz w:val="20"/>
          <w:szCs w:val="20"/>
        </w:rPr>
      </w:pPr>
      <w:r w:rsidRPr="00256B5F">
        <w:rPr>
          <w:rFonts w:cs="Arial"/>
          <w:sz w:val="20"/>
          <w:szCs w:val="20"/>
        </w:rPr>
        <w:t>And what about groups?</w:t>
      </w:r>
    </w:p>
    <w:p w:rsidR="00256B5F" w:rsidRPr="00256B5F" w:rsidRDefault="00256B5F" w:rsidP="00256B5F">
      <w:pPr>
        <w:numPr>
          <w:ilvl w:val="0"/>
          <w:numId w:val="2"/>
        </w:numPr>
        <w:rPr>
          <w:sz w:val="20"/>
          <w:szCs w:val="20"/>
        </w:rPr>
      </w:pPr>
      <w:r w:rsidRPr="00256B5F">
        <w:rPr>
          <w:sz w:val="20"/>
          <w:szCs w:val="20"/>
        </w:rPr>
        <w:t>Which to use and when</w:t>
      </w:r>
    </w:p>
    <w:p w:rsidR="00256B5F" w:rsidRPr="00256B5F" w:rsidRDefault="00256B5F" w:rsidP="00256B5F">
      <w:pPr>
        <w:numPr>
          <w:ilvl w:val="0"/>
          <w:numId w:val="2"/>
        </w:numPr>
        <w:rPr>
          <w:sz w:val="20"/>
          <w:szCs w:val="20"/>
        </w:rPr>
      </w:pPr>
      <w:r w:rsidRPr="00256B5F">
        <w:rPr>
          <w:sz w:val="20"/>
          <w:szCs w:val="20"/>
        </w:rPr>
        <w:t>Other tax planning opportunities and specific anti-avoidance</w:t>
      </w:r>
    </w:p>
    <w:p w:rsidR="00256B5F" w:rsidRPr="00256B5F" w:rsidRDefault="00256B5F" w:rsidP="00256B5F">
      <w:pPr>
        <w:numPr>
          <w:ilvl w:val="0"/>
          <w:numId w:val="2"/>
        </w:numPr>
        <w:rPr>
          <w:sz w:val="20"/>
          <w:szCs w:val="20"/>
        </w:rPr>
      </w:pPr>
      <w:r w:rsidRPr="00256B5F">
        <w:rPr>
          <w:sz w:val="20"/>
          <w:szCs w:val="20"/>
        </w:rPr>
        <w:t>Personal Investment Companies – a thing of the past?</w:t>
      </w:r>
    </w:p>
    <w:p w:rsidR="00256B5F" w:rsidRDefault="00256B5F" w:rsidP="00256B5F">
      <w:pPr>
        <w:numPr>
          <w:ilvl w:val="0"/>
          <w:numId w:val="2"/>
        </w:numPr>
        <w:rPr>
          <w:sz w:val="20"/>
          <w:szCs w:val="20"/>
        </w:rPr>
      </w:pPr>
      <w:r w:rsidRPr="00256B5F">
        <w:rPr>
          <w:sz w:val="20"/>
          <w:szCs w:val="20"/>
        </w:rPr>
        <w:t>A consideration of the use of these structures in the medical, farming and other niche areas.</w:t>
      </w:r>
    </w:p>
    <w:p w:rsidR="00256B5F" w:rsidRPr="00256B5F" w:rsidRDefault="00256B5F" w:rsidP="00256B5F">
      <w:pPr>
        <w:ind w:left="720"/>
        <w:rPr>
          <w:sz w:val="20"/>
          <w:szCs w:val="20"/>
        </w:rPr>
      </w:pPr>
    </w:p>
    <w:p w:rsidR="001C4963" w:rsidRPr="00D47F03" w:rsidRDefault="00256B5F" w:rsidP="001C4963">
      <w:pPr>
        <w:rPr>
          <w:sz w:val="20"/>
          <w:szCs w:val="20"/>
          <w:lang w:val="en"/>
        </w:rPr>
      </w:pPr>
      <w:r>
        <w:rPr>
          <w:rStyle w:val="refname"/>
          <w:rFonts w:eastAsiaTheme="majorEastAsia"/>
          <w:b/>
          <w:color w:val="CC0000"/>
          <w:sz w:val="20"/>
          <w:szCs w:val="20"/>
          <w:lang w:val="en"/>
        </w:rPr>
        <w:t>M</w:t>
      </w:r>
      <w:r w:rsidR="001C4963" w:rsidRPr="00D47F03">
        <w:rPr>
          <w:rStyle w:val="refname"/>
          <w:rFonts w:eastAsiaTheme="majorEastAsia"/>
          <w:b/>
          <w:color w:val="CC0000"/>
          <w:sz w:val="20"/>
          <w:szCs w:val="20"/>
          <w:lang w:val="en"/>
        </w:rPr>
        <w:t>artyn Ingles</w:t>
      </w:r>
      <w:r w:rsidR="001C4963" w:rsidRPr="00D47F03">
        <w:rPr>
          <w:sz w:val="20"/>
          <w:szCs w:val="20"/>
          <w:lang w:val="en"/>
        </w:rPr>
        <w:t xml:space="preserve"> qualified as a Chartered Accountant in 1982 and has specialised in taxation ever since. He became an Associate member of </w:t>
      </w:r>
      <w:r w:rsidR="001C4963" w:rsidRPr="00D47F03">
        <w:rPr>
          <w:sz w:val="20"/>
          <w:szCs w:val="20"/>
          <w:lang w:val="en"/>
        </w:rPr>
        <w:lastRenderedPageBreak/>
        <w:t xml:space="preserve">the </w:t>
      </w:r>
      <w:r w:rsidR="001C4963" w:rsidRPr="00D47F03">
        <w:rPr>
          <w:rStyle w:val="refname"/>
          <w:rFonts w:eastAsiaTheme="majorEastAsia"/>
          <w:sz w:val="20"/>
          <w:szCs w:val="20"/>
          <w:lang w:val="en"/>
        </w:rPr>
        <w:t>Chartered Institute of Taxation</w:t>
      </w:r>
      <w:r w:rsidR="001C4963" w:rsidRPr="00D47F03">
        <w:rPr>
          <w:sz w:val="20"/>
          <w:szCs w:val="20"/>
          <w:lang w:val="en"/>
        </w:rPr>
        <w:t xml:space="preserve"> in 1983 whilst working for a large international firm. His career has combined lecturing with tax consultancy, working for </w:t>
      </w:r>
      <w:r w:rsidR="001C4963" w:rsidRPr="00D47F03">
        <w:rPr>
          <w:rStyle w:val="refname"/>
          <w:rFonts w:eastAsiaTheme="majorEastAsia"/>
          <w:sz w:val="20"/>
          <w:szCs w:val="20"/>
          <w:lang w:val="en"/>
        </w:rPr>
        <w:t>The Financial Training Company Ltd</w:t>
      </w:r>
      <w:r w:rsidR="001C4963" w:rsidRPr="00D47F03">
        <w:rPr>
          <w:sz w:val="20"/>
          <w:szCs w:val="20"/>
          <w:lang w:val="en"/>
        </w:rPr>
        <w:t xml:space="preserve">, </w:t>
      </w:r>
      <w:r w:rsidR="001C4963" w:rsidRPr="00D47F03">
        <w:rPr>
          <w:rStyle w:val="refname"/>
          <w:rFonts w:eastAsiaTheme="majorEastAsia"/>
          <w:sz w:val="20"/>
          <w:szCs w:val="20"/>
          <w:lang w:val="en"/>
        </w:rPr>
        <w:t>Horwath Clark Whitehill</w:t>
      </w:r>
      <w:r w:rsidR="001C4963" w:rsidRPr="00D47F03">
        <w:rPr>
          <w:sz w:val="20"/>
          <w:szCs w:val="20"/>
          <w:lang w:val="en"/>
        </w:rPr>
        <w:t xml:space="preserve">, and more recently </w:t>
      </w:r>
      <w:r w:rsidR="001C4963" w:rsidRPr="00D47F03">
        <w:rPr>
          <w:rStyle w:val="refname"/>
          <w:rFonts w:eastAsiaTheme="majorEastAsia"/>
          <w:sz w:val="20"/>
          <w:szCs w:val="20"/>
          <w:lang w:val="en"/>
        </w:rPr>
        <w:t>MacIntyre Hudson</w:t>
      </w:r>
      <w:r w:rsidR="001C4963" w:rsidRPr="00D47F03">
        <w:rPr>
          <w:sz w:val="20"/>
          <w:szCs w:val="20"/>
          <w:lang w:val="en"/>
        </w:rPr>
        <w:t>. His main area of interest is tax planning for the family business, in particular tax efficient remuneration, exit planning and restructuring.</w:t>
      </w:r>
    </w:p>
    <w:p w:rsidR="001C4963" w:rsidRPr="00D47F03" w:rsidRDefault="001C4963" w:rsidP="001C4963">
      <w:pPr>
        <w:rPr>
          <w:sz w:val="20"/>
          <w:szCs w:val="20"/>
          <w:lang w:val="en"/>
        </w:rPr>
      </w:pPr>
    </w:p>
    <w:p w:rsidR="001C4963" w:rsidRDefault="00D729DC" w:rsidP="001C4963">
      <w:pPr>
        <w:rPr>
          <w:rFonts w:cs="Arial"/>
          <w:b/>
          <w:sz w:val="20"/>
          <w:szCs w:val="20"/>
        </w:rPr>
      </w:pPr>
      <w:r>
        <w:rPr>
          <w:rFonts w:cs="Arial"/>
          <w:b/>
          <w:sz w:val="20"/>
          <w:szCs w:val="20"/>
        </w:rPr>
        <w:t>Booking:</w:t>
      </w:r>
    </w:p>
    <w:p w:rsidR="00D729DC" w:rsidRPr="00D47F03" w:rsidRDefault="00D729DC" w:rsidP="001C4963">
      <w:pPr>
        <w:rPr>
          <w:rFonts w:cs="Arial"/>
          <w:b/>
          <w:sz w:val="20"/>
          <w:szCs w:val="20"/>
        </w:rPr>
      </w:pPr>
      <w:r>
        <w:rPr>
          <w:rFonts w:cs="Arial"/>
          <w:b/>
          <w:sz w:val="20"/>
          <w:szCs w:val="20"/>
        </w:rPr>
        <w:t>Credit/Debit Card – Tel (0)1908 248159</w:t>
      </w:r>
    </w:p>
    <w:p w:rsidR="001C4963" w:rsidRPr="00D47F03" w:rsidRDefault="00D47F03" w:rsidP="001C4963">
      <w:pPr>
        <w:rPr>
          <w:rFonts w:cs="Arial"/>
          <w:sz w:val="20"/>
          <w:szCs w:val="20"/>
        </w:rPr>
      </w:pPr>
      <w:r w:rsidRPr="00D729DC">
        <w:rPr>
          <w:rFonts w:cs="Arial"/>
          <w:b/>
          <w:sz w:val="20"/>
          <w:szCs w:val="20"/>
        </w:rPr>
        <w:t>Online Booking</w:t>
      </w:r>
      <w:r w:rsidR="00D729DC">
        <w:rPr>
          <w:rFonts w:cs="Arial"/>
          <w:b/>
          <w:sz w:val="20"/>
          <w:szCs w:val="20"/>
        </w:rPr>
        <w:t xml:space="preserve"> - </w:t>
      </w:r>
      <w:r w:rsidRPr="00D47F03">
        <w:rPr>
          <w:rFonts w:cs="Arial"/>
          <w:sz w:val="20"/>
          <w:szCs w:val="20"/>
        </w:rPr>
        <w:t>£84.00 inc VAT, Retired/not employed £42.00 inc VAT</w:t>
      </w:r>
      <w:r w:rsidR="00D729DC">
        <w:rPr>
          <w:rFonts w:cs="Arial"/>
          <w:sz w:val="20"/>
          <w:szCs w:val="20"/>
        </w:rPr>
        <w:t xml:space="preserve"> at icaew.com/northern events</w:t>
      </w:r>
    </w:p>
    <w:p w:rsidR="00D47F03" w:rsidRPr="00D47F03" w:rsidRDefault="00D47F03" w:rsidP="001C4963">
      <w:pPr>
        <w:rPr>
          <w:rFonts w:cs="Arial"/>
          <w:sz w:val="20"/>
          <w:szCs w:val="20"/>
        </w:rPr>
      </w:pPr>
      <w:r w:rsidRPr="00D729DC">
        <w:rPr>
          <w:rFonts w:cs="Arial"/>
          <w:b/>
          <w:sz w:val="20"/>
          <w:szCs w:val="20"/>
        </w:rPr>
        <w:t>Postal</w:t>
      </w:r>
      <w:r w:rsidR="00D729DC" w:rsidRPr="00D729DC">
        <w:rPr>
          <w:rFonts w:cs="Arial"/>
          <w:b/>
          <w:sz w:val="20"/>
          <w:szCs w:val="20"/>
        </w:rPr>
        <w:t xml:space="preserve"> Booking</w:t>
      </w:r>
      <w:r w:rsidR="00D729DC">
        <w:rPr>
          <w:rFonts w:cs="Arial"/>
          <w:b/>
          <w:sz w:val="20"/>
          <w:szCs w:val="20"/>
        </w:rPr>
        <w:t xml:space="preserve"> by cheque -</w:t>
      </w:r>
      <w:r w:rsidRPr="00D47F03">
        <w:rPr>
          <w:rFonts w:cs="Arial"/>
          <w:sz w:val="20"/>
          <w:szCs w:val="20"/>
        </w:rPr>
        <w:t xml:space="preserve"> £90.00 inc VAT, Retire</w:t>
      </w:r>
      <w:r w:rsidR="00D729DC">
        <w:rPr>
          <w:rFonts w:cs="Arial"/>
          <w:sz w:val="20"/>
          <w:szCs w:val="20"/>
        </w:rPr>
        <w:t xml:space="preserve">d/not employed £45.00 inc </w:t>
      </w:r>
      <w:r w:rsidRPr="00D47F03">
        <w:rPr>
          <w:rFonts w:cs="Arial"/>
          <w:sz w:val="20"/>
          <w:szCs w:val="20"/>
        </w:rPr>
        <w:t>VAT</w:t>
      </w:r>
    </w:p>
    <w:p w:rsidR="00D47F03" w:rsidRDefault="00D47F03" w:rsidP="00BD598D">
      <w:pPr>
        <w:jc w:val="both"/>
        <w:rPr>
          <w:rFonts w:cs="Arial"/>
          <w:sz w:val="20"/>
          <w:szCs w:val="20"/>
        </w:rPr>
      </w:pPr>
    </w:p>
    <w:p w:rsidR="00D729DC" w:rsidRDefault="00D729DC" w:rsidP="00BD598D">
      <w:pPr>
        <w:jc w:val="both"/>
        <w:rPr>
          <w:rFonts w:cs="Arial"/>
          <w:sz w:val="20"/>
          <w:szCs w:val="20"/>
        </w:rPr>
      </w:pPr>
      <w:r w:rsidRPr="00D729DC">
        <w:rPr>
          <w:rFonts w:cs="Arial"/>
          <w:b/>
          <w:sz w:val="20"/>
          <w:szCs w:val="20"/>
        </w:rPr>
        <w:t>Lunch</w:t>
      </w:r>
      <w:r>
        <w:rPr>
          <w:rFonts w:cs="Arial"/>
          <w:sz w:val="20"/>
          <w:szCs w:val="20"/>
        </w:rPr>
        <w:t xml:space="preserve"> from the hotel carvery will be included for those booking this course and seminar in the </w:t>
      </w:r>
      <w:r w:rsidR="00280748">
        <w:rPr>
          <w:rFonts w:cs="Arial"/>
          <w:sz w:val="20"/>
          <w:szCs w:val="20"/>
        </w:rPr>
        <w:t>morning</w:t>
      </w:r>
      <w:bookmarkStart w:id="0" w:name="_GoBack"/>
      <w:bookmarkEnd w:id="0"/>
      <w:r>
        <w:rPr>
          <w:rFonts w:cs="Arial"/>
          <w:sz w:val="20"/>
          <w:szCs w:val="20"/>
        </w:rPr>
        <w:t>.</w:t>
      </w:r>
    </w:p>
    <w:p w:rsidR="00D729DC" w:rsidRDefault="00D729DC" w:rsidP="00BD598D">
      <w:pPr>
        <w:jc w:val="both"/>
        <w:rPr>
          <w:rFonts w:cs="Arial"/>
          <w:sz w:val="20"/>
          <w:szCs w:val="20"/>
        </w:rPr>
      </w:pPr>
    </w:p>
    <w:p w:rsidR="00D729DC" w:rsidRDefault="00D729DC" w:rsidP="00BD598D">
      <w:pPr>
        <w:jc w:val="both"/>
        <w:rPr>
          <w:rFonts w:cs="Arial"/>
          <w:sz w:val="20"/>
          <w:szCs w:val="20"/>
        </w:rPr>
      </w:pPr>
      <w:r>
        <w:rPr>
          <w:rFonts w:cs="Arial"/>
          <w:sz w:val="20"/>
          <w:szCs w:val="20"/>
        </w:rPr>
        <w:t>For further information contact Joanne Lucking on 0191 300 0352</w:t>
      </w:r>
      <w:r w:rsidR="00EA70F1">
        <w:rPr>
          <w:rFonts w:cs="Arial"/>
          <w:sz w:val="20"/>
          <w:szCs w:val="20"/>
        </w:rPr>
        <w:t xml:space="preserve"> </w:t>
      </w:r>
      <w:hyperlink r:id="rId9" w:history="1">
        <w:r w:rsidR="00EA70F1" w:rsidRPr="00B15672">
          <w:rPr>
            <w:rStyle w:val="Hyperlink"/>
            <w:rFonts w:cs="Arial"/>
            <w:sz w:val="20"/>
            <w:szCs w:val="20"/>
          </w:rPr>
          <w:t>joanne.lucking@icaew.com</w:t>
        </w:r>
      </w:hyperlink>
    </w:p>
    <w:p w:rsidR="00D47F03" w:rsidRPr="00D47F03" w:rsidRDefault="00280748" w:rsidP="00D47F03">
      <w:pPr>
        <w:pStyle w:val="subsubhead"/>
        <w:spacing w:before="0"/>
        <w:rPr>
          <w:color w:val="auto"/>
          <w:sz w:val="20"/>
        </w:rPr>
      </w:pPr>
      <w:r>
        <w:rPr>
          <w:color w:val="auto"/>
          <w:sz w:val="20"/>
        </w:rPr>
        <w:pict>
          <v:rect id="_x0000_i1025" style="width:0;height:1.5pt" o:hralign="center" o:hrstd="t" o:hr="t" fillcolor="#aaa" stroked="f"/>
        </w:pict>
      </w:r>
    </w:p>
    <w:p w:rsidR="00D47F03" w:rsidRPr="005B75BD" w:rsidRDefault="00D47F03" w:rsidP="005B75BD">
      <w:pPr>
        <w:pStyle w:val="orderform"/>
        <w:spacing w:before="120" w:line="240" w:lineRule="auto"/>
        <w:rPr>
          <w:b/>
          <w:color w:val="auto"/>
        </w:rPr>
      </w:pPr>
      <w:r w:rsidRPr="005B75BD">
        <w:rPr>
          <w:color w:val="auto"/>
        </w:rPr>
        <w:t xml:space="preserve">*I/we would like to attend </w:t>
      </w:r>
      <w:r w:rsidR="007C2E75">
        <w:rPr>
          <w:b/>
          <w:color w:val="auto"/>
        </w:rPr>
        <w:t>Partnerships, h</w:t>
      </w:r>
      <w:r w:rsidR="00256B5F" w:rsidRPr="00256B5F">
        <w:rPr>
          <w:b/>
          <w:color w:val="auto"/>
        </w:rPr>
        <w:t xml:space="preserve">ybrids &amp; </w:t>
      </w:r>
      <w:r w:rsidR="007C2E75">
        <w:rPr>
          <w:b/>
          <w:color w:val="auto"/>
        </w:rPr>
        <w:t>other s</w:t>
      </w:r>
      <w:r w:rsidR="00256B5F" w:rsidRPr="00256B5F">
        <w:rPr>
          <w:b/>
          <w:color w:val="auto"/>
        </w:rPr>
        <w:t>tructures</w:t>
      </w:r>
      <w:r w:rsidRPr="00256B5F">
        <w:rPr>
          <w:b/>
          <w:color w:val="auto"/>
        </w:rPr>
        <w:t xml:space="preserve"> </w:t>
      </w:r>
      <w:r w:rsidRPr="005B75BD">
        <w:rPr>
          <w:b/>
          <w:color w:val="auto"/>
        </w:rPr>
        <w:t xml:space="preserve">course on </w:t>
      </w:r>
      <w:r w:rsidR="00256B5F">
        <w:rPr>
          <w:b/>
          <w:color w:val="auto"/>
        </w:rPr>
        <w:t>Wednesday 3 December</w:t>
      </w:r>
      <w:r w:rsidRPr="005B75BD">
        <w:rPr>
          <w:b/>
          <w:color w:val="auto"/>
        </w:rPr>
        <w:t xml:space="preserve"> 2014 </w:t>
      </w:r>
      <w:r w:rsidRPr="005B75BD">
        <w:rPr>
          <w:color w:val="auto"/>
          <w:szCs w:val="16"/>
        </w:rPr>
        <w:t xml:space="preserve">(booking ref </w:t>
      </w:r>
      <w:r w:rsidRPr="005B75BD">
        <w:rPr>
          <w:rFonts w:eastAsia="Times New Roman"/>
          <w:color w:val="auto"/>
          <w:szCs w:val="16"/>
        </w:rPr>
        <w:t>DNORSEM14</w:t>
      </w:r>
      <w:r w:rsidR="00256B5F">
        <w:rPr>
          <w:rFonts w:eastAsia="Times New Roman"/>
          <w:color w:val="auto"/>
          <w:szCs w:val="16"/>
        </w:rPr>
        <w:t>12</w:t>
      </w:r>
      <w:r w:rsidRPr="005B75BD">
        <w:rPr>
          <w:rFonts w:eastAsia="Times New Roman"/>
          <w:color w:val="auto"/>
          <w:szCs w:val="16"/>
        </w:rPr>
        <w:t>0</w:t>
      </w:r>
      <w:r w:rsidR="00256B5F">
        <w:rPr>
          <w:rFonts w:eastAsia="Times New Roman"/>
          <w:color w:val="auto"/>
          <w:szCs w:val="16"/>
        </w:rPr>
        <w:t>3</w:t>
      </w:r>
      <w:r w:rsidRPr="005B75BD">
        <w:rPr>
          <w:rFonts w:eastAsia="Times New Roman"/>
          <w:color w:val="auto"/>
          <w:szCs w:val="16"/>
        </w:rPr>
        <w:t>)</w:t>
      </w:r>
    </w:p>
    <w:p w:rsidR="00D47F03" w:rsidRPr="005B75BD" w:rsidRDefault="00D47F03" w:rsidP="005B75BD">
      <w:pPr>
        <w:pStyle w:val="orderform"/>
        <w:spacing w:before="120" w:line="240" w:lineRule="auto"/>
        <w:rPr>
          <w:color w:val="auto"/>
        </w:rPr>
      </w:pPr>
      <w:r w:rsidRPr="005B75BD">
        <w:rPr>
          <w:color w:val="auto"/>
        </w:rPr>
        <w:t>If paying for multiple attendees please insert the lead name below with details of others - name, organisation &amp; membership number – overleaf.</w:t>
      </w:r>
    </w:p>
    <w:p w:rsidR="00D47F03" w:rsidRPr="005B75BD" w:rsidRDefault="00D47F03" w:rsidP="005B75BD">
      <w:pPr>
        <w:pStyle w:val="orderform"/>
        <w:spacing w:before="120" w:line="240" w:lineRule="auto"/>
        <w:rPr>
          <w:color w:val="auto"/>
        </w:rPr>
      </w:pPr>
      <w:r w:rsidRPr="005B75BD">
        <w:rPr>
          <w:color w:val="auto"/>
        </w:rPr>
        <w:t>Name: …………………………………Organisation:………………………...</w:t>
      </w:r>
    </w:p>
    <w:p w:rsidR="00D47F03" w:rsidRPr="005B75BD" w:rsidRDefault="00D47F03" w:rsidP="005B75BD">
      <w:pPr>
        <w:pStyle w:val="orderform"/>
        <w:spacing w:before="120" w:line="240" w:lineRule="auto"/>
        <w:rPr>
          <w:color w:val="auto"/>
        </w:rPr>
      </w:pPr>
      <w:r w:rsidRPr="005B75BD">
        <w:rPr>
          <w:color w:val="auto"/>
        </w:rPr>
        <w:t>E-mail: ………………………………… Tel:...............................................</w:t>
      </w:r>
    </w:p>
    <w:p w:rsidR="00D47F03" w:rsidRPr="005B75BD" w:rsidRDefault="00D47F03" w:rsidP="005B75BD">
      <w:pPr>
        <w:pStyle w:val="orderform"/>
        <w:spacing w:before="120" w:line="240" w:lineRule="auto"/>
        <w:rPr>
          <w:color w:val="auto"/>
        </w:rPr>
      </w:pPr>
      <w:r w:rsidRPr="005B75BD">
        <w:rPr>
          <w:color w:val="auto"/>
        </w:rPr>
        <w:t>Address: ………………………………………………</w:t>
      </w:r>
      <w:r w:rsidR="005B75BD" w:rsidRPr="005B75BD">
        <w:rPr>
          <w:color w:val="auto"/>
        </w:rPr>
        <w:t>…………………………</w:t>
      </w:r>
    </w:p>
    <w:p w:rsidR="005B75BD" w:rsidRPr="005B75BD" w:rsidRDefault="005B75BD" w:rsidP="005B75BD">
      <w:pPr>
        <w:pStyle w:val="orderform"/>
        <w:spacing w:before="120" w:line="240" w:lineRule="auto"/>
        <w:rPr>
          <w:color w:val="auto"/>
        </w:rPr>
      </w:pPr>
      <w:r w:rsidRPr="005B75BD">
        <w:rPr>
          <w:color w:val="auto"/>
        </w:rPr>
        <w:t>………………………………………………………………Postcode: ……….</w:t>
      </w:r>
    </w:p>
    <w:p w:rsidR="00BD598D" w:rsidRDefault="00D47F03" w:rsidP="005B75BD">
      <w:pPr>
        <w:pStyle w:val="orderform"/>
        <w:spacing w:before="120" w:line="240" w:lineRule="auto"/>
        <w:rPr>
          <w:color w:val="auto"/>
        </w:rPr>
      </w:pPr>
      <w:r w:rsidRPr="005B75BD">
        <w:rPr>
          <w:color w:val="auto"/>
        </w:rPr>
        <w:t>Institute Membership No. (</w:t>
      </w:r>
      <w:proofErr w:type="gramStart"/>
      <w:r w:rsidRPr="005B75BD">
        <w:rPr>
          <w:color w:val="auto"/>
        </w:rPr>
        <w:t>if</w:t>
      </w:r>
      <w:proofErr w:type="gramEnd"/>
      <w:r w:rsidRPr="005B75BD">
        <w:rPr>
          <w:color w:val="auto"/>
        </w:rPr>
        <w:t xml:space="preserve"> applicable): </w:t>
      </w:r>
      <w:r w:rsidRPr="005B75BD">
        <w:rPr>
          <w:color w:val="auto"/>
        </w:rPr>
        <w:sym w:font="Webdings" w:char="F063"/>
      </w:r>
      <w:r w:rsidRPr="005B75BD">
        <w:rPr>
          <w:color w:val="auto"/>
        </w:rPr>
        <w:sym w:font="Webdings" w:char="F063"/>
      </w:r>
      <w:r w:rsidRPr="005B75BD">
        <w:rPr>
          <w:color w:val="auto"/>
        </w:rPr>
        <w:sym w:font="Webdings" w:char="F063"/>
      </w:r>
      <w:r w:rsidRPr="005B75BD">
        <w:rPr>
          <w:color w:val="auto"/>
        </w:rPr>
        <w:sym w:font="Webdings" w:char="F063"/>
      </w:r>
      <w:r w:rsidRPr="005B75BD">
        <w:rPr>
          <w:color w:val="auto"/>
        </w:rPr>
        <w:sym w:font="Webdings" w:char="F063"/>
      </w:r>
      <w:r w:rsidRPr="005B75BD">
        <w:rPr>
          <w:color w:val="auto"/>
        </w:rPr>
        <w:sym w:font="Webdings" w:char="F063"/>
      </w:r>
      <w:r w:rsidRPr="005B75BD">
        <w:rPr>
          <w:color w:val="auto"/>
        </w:rPr>
        <w:sym w:font="Webdings" w:char="F063"/>
      </w:r>
      <w:r w:rsidRPr="005B75BD">
        <w:rPr>
          <w:color w:val="auto"/>
        </w:rPr>
        <w:t xml:space="preserve"> Tick this box if you require a VAT Receipt </w:t>
      </w:r>
      <w:r w:rsidRPr="005B75BD">
        <w:rPr>
          <w:color w:val="auto"/>
        </w:rPr>
        <w:sym w:font="Webdings" w:char="F063"/>
      </w:r>
    </w:p>
    <w:p w:rsidR="00551393" w:rsidRPr="00D47F03" w:rsidRDefault="00D47F03" w:rsidP="007C2E75">
      <w:pPr>
        <w:pStyle w:val="orderform"/>
        <w:spacing w:before="120" w:line="240" w:lineRule="auto"/>
      </w:pPr>
      <w:r w:rsidRPr="005B75BD">
        <w:rPr>
          <w:color w:val="auto"/>
        </w:rPr>
        <w:t xml:space="preserve">I wish to reserve ….... </w:t>
      </w:r>
      <w:r w:rsidR="00BD598D">
        <w:rPr>
          <w:color w:val="auto"/>
        </w:rPr>
        <w:t>place(s) at the above seminar</w:t>
      </w:r>
      <w:r w:rsidRPr="005B75BD">
        <w:rPr>
          <w:color w:val="auto"/>
        </w:rPr>
        <w:t>.  I enclose my cheque for £…………… payable to “NSCA”</w:t>
      </w:r>
    </w:p>
    <w:sectPr w:rsidR="00551393" w:rsidRPr="00D47F03" w:rsidSect="00DC78B7">
      <w:headerReference w:type="default" r:id="rId10"/>
      <w:footerReference w:type="even" r:id="rId11"/>
      <w:pgSz w:w="8419" w:h="11906" w:orient="landscape" w:code="9"/>
      <w:pgMar w:top="1843" w:right="1134" w:bottom="1418" w:left="720"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9DC" w:rsidRDefault="00D729DC">
      <w:r>
        <w:separator/>
      </w:r>
    </w:p>
  </w:endnote>
  <w:endnote w:type="continuationSeparator" w:id="0">
    <w:p w:rsidR="00D729DC" w:rsidRDefault="00D7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9DC" w:rsidRPr="005B75BD" w:rsidRDefault="00D729DC">
    <w:pPr>
      <w:pStyle w:val="Footer"/>
      <w:rPr>
        <w:b/>
        <w:sz w:val="20"/>
        <w:szCs w:val="20"/>
      </w:rPr>
    </w:pPr>
    <w:r w:rsidRPr="005B75BD">
      <w:rPr>
        <w:b/>
        <w:sz w:val="20"/>
        <w:szCs w:val="20"/>
      </w:rPr>
      <w:t>RETURN TO: Joanne Lucking, ICAEW PO Box 101, Prudhoe, NE42 9AQ</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9DC" w:rsidRDefault="00D729DC">
      <w:r>
        <w:separator/>
      </w:r>
    </w:p>
  </w:footnote>
  <w:footnote w:type="continuationSeparator" w:id="0">
    <w:p w:rsidR="00D729DC" w:rsidRDefault="00D72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9DC" w:rsidRDefault="00D729DC" w:rsidP="006829CC">
    <w:pPr>
      <w:pStyle w:val="Header"/>
      <w:tabs>
        <w:tab w:val="clear" w:pos="4153"/>
        <w:tab w:val="center" w:pos="5580"/>
      </w:tabs>
    </w:pPr>
    <w:r w:rsidRPr="007A3F4A">
      <w:rPr>
        <w:noProof/>
      </w:rPr>
      <w:drawing>
        <wp:anchor distT="0" distB="0" distL="114300" distR="114300" simplePos="0" relativeHeight="251659264" behindDoc="0" locked="0" layoutInCell="1" allowOverlap="1" wp14:anchorId="76BE7DFB" wp14:editId="04F3FDA0">
          <wp:simplePos x="0" y="0"/>
          <wp:positionH relativeFrom="column">
            <wp:posOffset>-91440</wp:posOffset>
          </wp:positionH>
          <wp:positionV relativeFrom="paragraph">
            <wp:posOffset>-132715</wp:posOffset>
          </wp:positionV>
          <wp:extent cx="1371600" cy="871855"/>
          <wp:effectExtent l="0" t="0" r="0" b="4445"/>
          <wp:wrapNone/>
          <wp:docPr id="50" name="Picture 50" descr="G:\REG\SCO\AST Filing (Latest Back-up)\Templates\BRAND Logo\NSCA-RGB-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G\SCO\AST Filing (Latest Back-up)\Templates\BRAND Logo\NSCA-RGB-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87185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D729DC" w:rsidRPr="008E6376" w:rsidRDefault="00D729DC" w:rsidP="006829CC">
    <w:pPr>
      <w:pStyle w:val="Header"/>
      <w:tabs>
        <w:tab w:val="clear" w:pos="4153"/>
        <w:tab w:val="center" w:pos="5580"/>
      </w:tabs>
      <w:rPr>
        <w:b/>
        <w:sz w:val="18"/>
        <w:szCs w:val="18"/>
      </w:rPr>
    </w:pPr>
  </w:p>
  <w:p w:rsidR="00D729DC" w:rsidRDefault="00D729DC" w:rsidP="006257A3">
    <w:pPr>
      <w:pStyle w:val="Header"/>
      <w:tabs>
        <w:tab w:val="clear" w:pos="4153"/>
        <w:tab w:val="center" w:pos="5580"/>
      </w:tabs>
      <w:rPr>
        <w:sz w:val="18"/>
        <w:szCs w:val="18"/>
      </w:rPr>
    </w:pPr>
  </w:p>
  <w:p w:rsidR="00D729DC" w:rsidRDefault="00D729DC" w:rsidP="006257A3">
    <w:pPr>
      <w:pStyle w:val="Header"/>
      <w:tabs>
        <w:tab w:val="clear" w:pos="4153"/>
        <w:tab w:val="center" w:pos="5580"/>
      </w:tabs>
      <w:rPr>
        <w:sz w:val="18"/>
        <w:szCs w:val="18"/>
      </w:rPr>
    </w:pPr>
  </w:p>
  <w:p w:rsidR="00D729DC" w:rsidRPr="00551393" w:rsidRDefault="00D729DC" w:rsidP="006257A3">
    <w:pPr>
      <w:pStyle w:val="Header"/>
      <w:tabs>
        <w:tab w:val="clear" w:pos="4153"/>
        <w:tab w:val="center" w:pos="5580"/>
      </w:tabs>
      <w:rPr>
        <w:b/>
        <w:sz w:val="36"/>
        <w:szCs w:val="36"/>
      </w:rPr>
    </w:pPr>
  </w:p>
  <w:p w:rsidR="00D729DC" w:rsidRPr="00551393" w:rsidRDefault="00D729DC" w:rsidP="006257A3">
    <w:pPr>
      <w:pStyle w:val="Header"/>
      <w:tabs>
        <w:tab w:val="clear" w:pos="4153"/>
        <w:tab w:val="center" w:pos="5580"/>
      </w:tabs>
      <w:rPr>
        <w:sz w:val="24"/>
        <w:szCs w:val="24"/>
      </w:rPr>
    </w:pP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A1360"/>
    <w:multiLevelType w:val="hybridMultilevel"/>
    <w:tmpl w:val="F0766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C506E9B"/>
    <w:multiLevelType w:val="hybridMultilevel"/>
    <w:tmpl w:val="14DC7F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printTwoOnOne/>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727"/>
    <w:rsid w:val="000075F2"/>
    <w:rsid w:val="0001432A"/>
    <w:rsid w:val="00014515"/>
    <w:rsid w:val="00031941"/>
    <w:rsid w:val="00036787"/>
    <w:rsid w:val="000454E0"/>
    <w:rsid w:val="0005085C"/>
    <w:rsid w:val="0005633E"/>
    <w:rsid w:val="00057D42"/>
    <w:rsid w:val="000A160B"/>
    <w:rsid w:val="000B4A91"/>
    <w:rsid w:val="000C61FD"/>
    <w:rsid w:val="000F1B6A"/>
    <w:rsid w:val="000F244C"/>
    <w:rsid w:val="00113427"/>
    <w:rsid w:val="001151FD"/>
    <w:rsid w:val="00122F5F"/>
    <w:rsid w:val="00125572"/>
    <w:rsid w:val="001359D6"/>
    <w:rsid w:val="001467DC"/>
    <w:rsid w:val="00156DD0"/>
    <w:rsid w:val="001A2435"/>
    <w:rsid w:val="001A3434"/>
    <w:rsid w:val="001A4731"/>
    <w:rsid w:val="001A4E73"/>
    <w:rsid w:val="001C1E79"/>
    <w:rsid w:val="001C2624"/>
    <w:rsid w:val="001C4439"/>
    <w:rsid w:val="001C4963"/>
    <w:rsid w:val="001D2DFE"/>
    <w:rsid w:val="001D322C"/>
    <w:rsid w:val="001E2CD1"/>
    <w:rsid w:val="001F40AA"/>
    <w:rsid w:val="001F696B"/>
    <w:rsid w:val="001F79D7"/>
    <w:rsid w:val="00216B9C"/>
    <w:rsid w:val="00223EA7"/>
    <w:rsid w:val="0023096F"/>
    <w:rsid w:val="00246907"/>
    <w:rsid w:val="00247968"/>
    <w:rsid w:val="00256B5F"/>
    <w:rsid w:val="00280748"/>
    <w:rsid w:val="00295FF5"/>
    <w:rsid w:val="00296630"/>
    <w:rsid w:val="002B444E"/>
    <w:rsid w:val="002D1CF0"/>
    <w:rsid w:val="002D6821"/>
    <w:rsid w:val="003076F3"/>
    <w:rsid w:val="00331781"/>
    <w:rsid w:val="003B3866"/>
    <w:rsid w:val="003B6A8B"/>
    <w:rsid w:val="003C5720"/>
    <w:rsid w:val="003D39C7"/>
    <w:rsid w:val="003D6734"/>
    <w:rsid w:val="003E3171"/>
    <w:rsid w:val="003E5C0C"/>
    <w:rsid w:val="003F616E"/>
    <w:rsid w:val="003F6F42"/>
    <w:rsid w:val="00416FBB"/>
    <w:rsid w:val="00440AAB"/>
    <w:rsid w:val="004418CC"/>
    <w:rsid w:val="00445960"/>
    <w:rsid w:val="00450479"/>
    <w:rsid w:val="00483337"/>
    <w:rsid w:val="00492955"/>
    <w:rsid w:val="004B7A25"/>
    <w:rsid w:val="004C59BF"/>
    <w:rsid w:val="004C61A7"/>
    <w:rsid w:val="004D77DB"/>
    <w:rsid w:val="004D79B8"/>
    <w:rsid w:val="004E0C46"/>
    <w:rsid w:val="0050353A"/>
    <w:rsid w:val="005143B9"/>
    <w:rsid w:val="00515641"/>
    <w:rsid w:val="00515CB3"/>
    <w:rsid w:val="0052086F"/>
    <w:rsid w:val="00523462"/>
    <w:rsid w:val="00545990"/>
    <w:rsid w:val="00551393"/>
    <w:rsid w:val="0056310D"/>
    <w:rsid w:val="00565C67"/>
    <w:rsid w:val="00567F11"/>
    <w:rsid w:val="005B75BD"/>
    <w:rsid w:val="005C139E"/>
    <w:rsid w:val="005D078F"/>
    <w:rsid w:val="005D72C5"/>
    <w:rsid w:val="005E7E50"/>
    <w:rsid w:val="005F2C23"/>
    <w:rsid w:val="005F6B8C"/>
    <w:rsid w:val="006257A3"/>
    <w:rsid w:val="00630C5D"/>
    <w:rsid w:val="00651CDE"/>
    <w:rsid w:val="00663C62"/>
    <w:rsid w:val="00673E39"/>
    <w:rsid w:val="006829CC"/>
    <w:rsid w:val="00683E20"/>
    <w:rsid w:val="00692CF2"/>
    <w:rsid w:val="006A0018"/>
    <w:rsid w:val="006A174D"/>
    <w:rsid w:val="006A3A01"/>
    <w:rsid w:val="006C5AB8"/>
    <w:rsid w:val="006D3AC3"/>
    <w:rsid w:val="006E1B1A"/>
    <w:rsid w:val="006E6E28"/>
    <w:rsid w:val="00754222"/>
    <w:rsid w:val="00757BD4"/>
    <w:rsid w:val="00776D14"/>
    <w:rsid w:val="007A3F62"/>
    <w:rsid w:val="007B0140"/>
    <w:rsid w:val="007B2519"/>
    <w:rsid w:val="007B26A0"/>
    <w:rsid w:val="007C2E75"/>
    <w:rsid w:val="007C3BA8"/>
    <w:rsid w:val="007D47BE"/>
    <w:rsid w:val="007E75FD"/>
    <w:rsid w:val="007F0396"/>
    <w:rsid w:val="007F74D2"/>
    <w:rsid w:val="008015CF"/>
    <w:rsid w:val="008314CC"/>
    <w:rsid w:val="008324DA"/>
    <w:rsid w:val="00833BB1"/>
    <w:rsid w:val="008474C5"/>
    <w:rsid w:val="0085025B"/>
    <w:rsid w:val="0087332E"/>
    <w:rsid w:val="00876CEA"/>
    <w:rsid w:val="0089709E"/>
    <w:rsid w:val="008A2AB4"/>
    <w:rsid w:val="008C7EC3"/>
    <w:rsid w:val="008D2D5D"/>
    <w:rsid w:val="008E6376"/>
    <w:rsid w:val="008F1C64"/>
    <w:rsid w:val="00930029"/>
    <w:rsid w:val="00942427"/>
    <w:rsid w:val="0099620C"/>
    <w:rsid w:val="009A23BE"/>
    <w:rsid w:val="009C0C6E"/>
    <w:rsid w:val="009C7F60"/>
    <w:rsid w:val="009E6DBE"/>
    <w:rsid w:val="00A02C90"/>
    <w:rsid w:val="00A038D5"/>
    <w:rsid w:val="00A176CB"/>
    <w:rsid w:val="00A4283D"/>
    <w:rsid w:val="00A52A2E"/>
    <w:rsid w:val="00A575FB"/>
    <w:rsid w:val="00A82781"/>
    <w:rsid w:val="00A90594"/>
    <w:rsid w:val="00A95FD9"/>
    <w:rsid w:val="00AA6ED8"/>
    <w:rsid w:val="00AD398C"/>
    <w:rsid w:val="00AE751B"/>
    <w:rsid w:val="00B11672"/>
    <w:rsid w:val="00B14E5B"/>
    <w:rsid w:val="00B14F68"/>
    <w:rsid w:val="00B344EF"/>
    <w:rsid w:val="00B5295D"/>
    <w:rsid w:val="00B66A0C"/>
    <w:rsid w:val="00B70DA4"/>
    <w:rsid w:val="00B86F51"/>
    <w:rsid w:val="00BB13D2"/>
    <w:rsid w:val="00BC4942"/>
    <w:rsid w:val="00BD598D"/>
    <w:rsid w:val="00BE31F3"/>
    <w:rsid w:val="00BE3A63"/>
    <w:rsid w:val="00BF24B3"/>
    <w:rsid w:val="00C16471"/>
    <w:rsid w:val="00C20EEC"/>
    <w:rsid w:val="00C325F7"/>
    <w:rsid w:val="00C54D71"/>
    <w:rsid w:val="00C769A1"/>
    <w:rsid w:val="00C96B7C"/>
    <w:rsid w:val="00CC29E0"/>
    <w:rsid w:val="00CC6B2B"/>
    <w:rsid w:val="00D000C4"/>
    <w:rsid w:val="00D078CC"/>
    <w:rsid w:val="00D11A58"/>
    <w:rsid w:val="00D23D51"/>
    <w:rsid w:val="00D47F03"/>
    <w:rsid w:val="00D51D23"/>
    <w:rsid w:val="00D56AA3"/>
    <w:rsid w:val="00D66CF9"/>
    <w:rsid w:val="00D729DC"/>
    <w:rsid w:val="00DC78B7"/>
    <w:rsid w:val="00DC7BE4"/>
    <w:rsid w:val="00DD71D3"/>
    <w:rsid w:val="00E215E2"/>
    <w:rsid w:val="00E31300"/>
    <w:rsid w:val="00E321E2"/>
    <w:rsid w:val="00E37E27"/>
    <w:rsid w:val="00E45727"/>
    <w:rsid w:val="00E45E58"/>
    <w:rsid w:val="00E649DA"/>
    <w:rsid w:val="00E86758"/>
    <w:rsid w:val="00E9105E"/>
    <w:rsid w:val="00E94AE2"/>
    <w:rsid w:val="00EA70F1"/>
    <w:rsid w:val="00EB7B09"/>
    <w:rsid w:val="00EC030B"/>
    <w:rsid w:val="00EC21AD"/>
    <w:rsid w:val="00ED1BC0"/>
    <w:rsid w:val="00ED7EF1"/>
    <w:rsid w:val="00EE7CE7"/>
    <w:rsid w:val="00F0210F"/>
    <w:rsid w:val="00F212D9"/>
    <w:rsid w:val="00F21707"/>
    <w:rsid w:val="00F4210C"/>
    <w:rsid w:val="00F56AE0"/>
    <w:rsid w:val="00F70CE3"/>
    <w:rsid w:val="00F7120F"/>
    <w:rsid w:val="00F838D6"/>
    <w:rsid w:val="00FC1AE3"/>
    <w:rsid w:val="00FC1D12"/>
    <w:rsid w:val="00FC21B1"/>
    <w:rsid w:val="00FD4C09"/>
    <w:rsid w:val="00FF5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paragraph" w:styleId="Heading1">
    <w:name w:val="heading 1"/>
    <w:basedOn w:val="Normal"/>
    <w:next w:val="Normal"/>
    <w:link w:val="Heading1Char"/>
    <w:qFormat/>
    <w:rsid w:val="005513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autoRedefine/>
    <w:qFormat/>
    <w:rsid w:val="00523462"/>
    <w:pPr>
      <w:keepNext/>
      <w:widowControl w:val="0"/>
      <w:spacing w:before="120" w:after="120" w:line="480" w:lineRule="auto"/>
      <w:jc w:val="both"/>
      <w:outlineLvl w:val="1"/>
    </w:pPr>
    <w:rPr>
      <w:rFonts w:ascii="Times New Roman" w:hAnsi="Times New Roman" w:cs="Arial"/>
      <w:b/>
      <w:bCs/>
      <w:iCs/>
      <w:sz w:val="24"/>
      <w:szCs w:val="24"/>
    </w:rPr>
  </w:style>
  <w:style w:type="paragraph" w:styleId="Heading3">
    <w:name w:val="heading 3"/>
    <w:basedOn w:val="Normal"/>
    <w:next w:val="Normal"/>
    <w:link w:val="Heading3Char"/>
    <w:unhideWhenUsed/>
    <w:qFormat/>
    <w:rsid w:val="005513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
    <w:name w:val="Normal Paragraph"/>
    <w:basedOn w:val="Normal"/>
    <w:autoRedefine/>
    <w:rsid w:val="006C5AB8"/>
    <w:pPr>
      <w:widowControl w:val="0"/>
      <w:tabs>
        <w:tab w:val="left" w:pos="1985"/>
      </w:tabs>
      <w:autoSpaceDE w:val="0"/>
      <w:autoSpaceDN w:val="0"/>
      <w:adjustRightInd w:val="0"/>
      <w:spacing w:line="480" w:lineRule="auto"/>
      <w:jc w:val="both"/>
    </w:pPr>
    <w:rPr>
      <w:rFonts w:ascii="Times New Roman" w:hAnsi="Times New Roman"/>
      <w:color w:val="000000"/>
      <w:sz w:val="24"/>
      <w:szCs w:val="24"/>
    </w:rPr>
  </w:style>
  <w:style w:type="paragraph" w:customStyle="1" w:styleId="normal1">
    <w:name w:val="normal 1"/>
    <w:basedOn w:val="Normal"/>
    <w:autoRedefine/>
    <w:rsid w:val="00523462"/>
    <w:pPr>
      <w:keepLines/>
      <w:spacing w:before="240" w:line="480" w:lineRule="auto"/>
      <w:jc w:val="both"/>
    </w:pPr>
    <w:rPr>
      <w:rFonts w:ascii="Times New Roman" w:hAnsi="Times New Roman"/>
      <w:color w:val="000000"/>
      <w:sz w:val="24"/>
      <w:szCs w:val="20"/>
    </w:rPr>
  </w:style>
  <w:style w:type="paragraph" w:customStyle="1" w:styleId="Figureformat">
    <w:name w:val="Figure format"/>
    <w:basedOn w:val="Normal"/>
    <w:autoRedefine/>
    <w:rsid w:val="00523462"/>
    <w:pPr>
      <w:spacing w:before="240" w:after="100" w:afterAutospacing="1"/>
      <w:jc w:val="both"/>
    </w:pPr>
    <w:rPr>
      <w:rFonts w:ascii="Times New Roman" w:hAnsi="Times New Roman"/>
      <w:lang w:val="en-US" w:eastAsia="en-US"/>
    </w:rPr>
  </w:style>
  <w:style w:type="paragraph" w:customStyle="1" w:styleId="quotation">
    <w:name w:val="quotation"/>
    <w:basedOn w:val="Normal"/>
    <w:autoRedefine/>
    <w:rsid w:val="00C325F7"/>
    <w:pPr>
      <w:spacing w:before="240" w:after="240"/>
      <w:ind w:left="720"/>
      <w:jc w:val="both"/>
    </w:pPr>
    <w:rPr>
      <w:rFonts w:ascii="Times New Roman" w:hAnsi="Times New Roman"/>
      <w:i/>
      <w:iCs/>
      <w:sz w:val="24"/>
      <w:szCs w:val="24"/>
    </w:rPr>
  </w:style>
  <w:style w:type="paragraph" w:customStyle="1" w:styleId="Indent1">
    <w:name w:val="Indent 1"/>
    <w:basedOn w:val="normal1"/>
    <w:autoRedefine/>
    <w:rsid w:val="00036787"/>
    <w:pPr>
      <w:keepLines w:val="0"/>
      <w:spacing w:before="360" w:after="240"/>
      <w:ind w:left="720"/>
    </w:pPr>
    <w:rPr>
      <w:color w:val="292526"/>
      <w:szCs w:val="24"/>
      <w:lang w:val="en-US"/>
    </w:rPr>
  </w:style>
  <w:style w:type="paragraph" w:styleId="Header">
    <w:name w:val="header"/>
    <w:basedOn w:val="Normal"/>
    <w:rsid w:val="006257A3"/>
    <w:pPr>
      <w:tabs>
        <w:tab w:val="center" w:pos="4153"/>
        <w:tab w:val="right" w:pos="8306"/>
      </w:tabs>
    </w:pPr>
  </w:style>
  <w:style w:type="paragraph" w:styleId="Footer">
    <w:name w:val="footer"/>
    <w:basedOn w:val="Normal"/>
    <w:rsid w:val="006257A3"/>
    <w:pPr>
      <w:tabs>
        <w:tab w:val="center" w:pos="4153"/>
        <w:tab w:val="right" w:pos="8306"/>
      </w:tabs>
    </w:pPr>
  </w:style>
  <w:style w:type="character" w:customStyle="1" w:styleId="Heading1Char">
    <w:name w:val="Heading 1 Char"/>
    <w:basedOn w:val="DefaultParagraphFont"/>
    <w:link w:val="Heading1"/>
    <w:rsid w:val="0055139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51393"/>
    <w:rPr>
      <w:rFonts w:asciiTheme="majorHAnsi" w:eastAsiaTheme="majorEastAsia" w:hAnsiTheme="majorHAnsi" w:cstheme="majorBidi"/>
      <w:b/>
      <w:bCs/>
      <w:color w:val="4F81BD" w:themeColor="accent1"/>
      <w:sz w:val="22"/>
      <w:szCs w:val="22"/>
    </w:rPr>
  </w:style>
  <w:style w:type="character" w:customStyle="1" w:styleId="refname">
    <w:name w:val="refname"/>
    <w:basedOn w:val="DefaultParagraphFont"/>
    <w:rsid w:val="001C4963"/>
  </w:style>
  <w:style w:type="character" w:styleId="Hyperlink">
    <w:name w:val="Hyperlink"/>
    <w:basedOn w:val="DefaultParagraphFont"/>
    <w:rsid w:val="00D47F03"/>
    <w:rPr>
      <w:color w:val="0000FF" w:themeColor="hyperlink"/>
      <w:u w:val="single"/>
    </w:rPr>
  </w:style>
  <w:style w:type="paragraph" w:customStyle="1" w:styleId="subsubhead">
    <w:name w:val="sub sub head"/>
    <w:basedOn w:val="Normal"/>
    <w:rsid w:val="00D47F03"/>
    <w:pPr>
      <w:spacing w:before="120" w:line="280" w:lineRule="exact"/>
    </w:pPr>
    <w:rPr>
      <w:rFonts w:eastAsia="Times"/>
      <w:color w:val="000000"/>
      <w:sz w:val="24"/>
      <w:szCs w:val="20"/>
      <w:lang w:val="en-US"/>
    </w:rPr>
  </w:style>
  <w:style w:type="paragraph" w:customStyle="1" w:styleId="orderform">
    <w:name w:val="order form"/>
    <w:basedOn w:val="Normal"/>
    <w:rsid w:val="00D47F03"/>
    <w:pPr>
      <w:tabs>
        <w:tab w:val="left" w:leader="dot" w:pos="5103"/>
        <w:tab w:val="left" w:leader="dot" w:pos="9639"/>
      </w:tabs>
      <w:spacing w:before="160" w:line="240" w:lineRule="exact"/>
    </w:pPr>
    <w:rPr>
      <w:rFonts w:eastAsia="Times"/>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paragraph" w:styleId="Heading1">
    <w:name w:val="heading 1"/>
    <w:basedOn w:val="Normal"/>
    <w:next w:val="Normal"/>
    <w:link w:val="Heading1Char"/>
    <w:qFormat/>
    <w:rsid w:val="005513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autoRedefine/>
    <w:qFormat/>
    <w:rsid w:val="00523462"/>
    <w:pPr>
      <w:keepNext/>
      <w:widowControl w:val="0"/>
      <w:spacing w:before="120" w:after="120" w:line="480" w:lineRule="auto"/>
      <w:jc w:val="both"/>
      <w:outlineLvl w:val="1"/>
    </w:pPr>
    <w:rPr>
      <w:rFonts w:ascii="Times New Roman" w:hAnsi="Times New Roman" w:cs="Arial"/>
      <w:b/>
      <w:bCs/>
      <w:iCs/>
      <w:sz w:val="24"/>
      <w:szCs w:val="24"/>
    </w:rPr>
  </w:style>
  <w:style w:type="paragraph" w:styleId="Heading3">
    <w:name w:val="heading 3"/>
    <w:basedOn w:val="Normal"/>
    <w:next w:val="Normal"/>
    <w:link w:val="Heading3Char"/>
    <w:unhideWhenUsed/>
    <w:qFormat/>
    <w:rsid w:val="005513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
    <w:name w:val="Normal Paragraph"/>
    <w:basedOn w:val="Normal"/>
    <w:autoRedefine/>
    <w:rsid w:val="006C5AB8"/>
    <w:pPr>
      <w:widowControl w:val="0"/>
      <w:tabs>
        <w:tab w:val="left" w:pos="1985"/>
      </w:tabs>
      <w:autoSpaceDE w:val="0"/>
      <w:autoSpaceDN w:val="0"/>
      <w:adjustRightInd w:val="0"/>
      <w:spacing w:line="480" w:lineRule="auto"/>
      <w:jc w:val="both"/>
    </w:pPr>
    <w:rPr>
      <w:rFonts w:ascii="Times New Roman" w:hAnsi="Times New Roman"/>
      <w:color w:val="000000"/>
      <w:sz w:val="24"/>
      <w:szCs w:val="24"/>
    </w:rPr>
  </w:style>
  <w:style w:type="paragraph" w:customStyle="1" w:styleId="normal1">
    <w:name w:val="normal 1"/>
    <w:basedOn w:val="Normal"/>
    <w:autoRedefine/>
    <w:rsid w:val="00523462"/>
    <w:pPr>
      <w:keepLines/>
      <w:spacing w:before="240" w:line="480" w:lineRule="auto"/>
      <w:jc w:val="both"/>
    </w:pPr>
    <w:rPr>
      <w:rFonts w:ascii="Times New Roman" w:hAnsi="Times New Roman"/>
      <w:color w:val="000000"/>
      <w:sz w:val="24"/>
      <w:szCs w:val="20"/>
    </w:rPr>
  </w:style>
  <w:style w:type="paragraph" w:customStyle="1" w:styleId="Figureformat">
    <w:name w:val="Figure format"/>
    <w:basedOn w:val="Normal"/>
    <w:autoRedefine/>
    <w:rsid w:val="00523462"/>
    <w:pPr>
      <w:spacing w:before="240" w:after="100" w:afterAutospacing="1"/>
      <w:jc w:val="both"/>
    </w:pPr>
    <w:rPr>
      <w:rFonts w:ascii="Times New Roman" w:hAnsi="Times New Roman"/>
      <w:lang w:val="en-US" w:eastAsia="en-US"/>
    </w:rPr>
  </w:style>
  <w:style w:type="paragraph" w:customStyle="1" w:styleId="quotation">
    <w:name w:val="quotation"/>
    <w:basedOn w:val="Normal"/>
    <w:autoRedefine/>
    <w:rsid w:val="00C325F7"/>
    <w:pPr>
      <w:spacing w:before="240" w:after="240"/>
      <w:ind w:left="720"/>
      <w:jc w:val="both"/>
    </w:pPr>
    <w:rPr>
      <w:rFonts w:ascii="Times New Roman" w:hAnsi="Times New Roman"/>
      <w:i/>
      <w:iCs/>
      <w:sz w:val="24"/>
      <w:szCs w:val="24"/>
    </w:rPr>
  </w:style>
  <w:style w:type="paragraph" w:customStyle="1" w:styleId="Indent1">
    <w:name w:val="Indent 1"/>
    <w:basedOn w:val="normal1"/>
    <w:autoRedefine/>
    <w:rsid w:val="00036787"/>
    <w:pPr>
      <w:keepLines w:val="0"/>
      <w:spacing w:before="360" w:after="240"/>
      <w:ind w:left="720"/>
    </w:pPr>
    <w:rPr>
      <w:color w:val="292526"/>
      <w:szCs w:val="24"/>
      <w:lang w:val="en-US"/>
    </w:rPr>
  </w:style>
  <w:style w:type="paragraph" w:styleId="Header">
    <w:name w:val="header"/>
    <w:basedOn w:val="Normal"/>
    <w:rsid w:val="006257A3"/>
    <w:pPr>
      <w:tabs>
        <w:tab w:val="center" w:pos="4153"/>
        <w:tab w:val="right" w:pos="8306"/>
      </w:tabs>
    </w:pPr>
  </w:style>
  <w:style w:type="paragraph" w:styleId="Footer">
    <w:name w:val="footer"/>
    <w:basedOn w:val="Normal"/>
    <w:rsid w:val="006257A3"/>
    <w:pPr>
      <w:tabs>
        <w:tab w:val="center" w:pos="4153"/>
        <w:tab w:val="right" w:pos="8306"/>
      </w:tabs>
    </w:pPr>
  </w:style>
  <w:style w:type="character" w:customStyle="1" w:styleId="Heading1Char">
    <w:name w:val="Heading 1 Char"/>
    <w:basedOn w:val="DefaultParagraphFont"/>
    <w:link w:val="Heading1"/>
    <w:rsid w:val="0055139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51393"/>
    <w:rPr>
      <w:rFonts w:asciiTheme="majorHAnsi" w:eastAsiaTheme="majorEastAsia" w:hAnsiTheme="majorHAnsi" w:cstheme="majorBidi"/>
      <w:b/>
      <w:bCs/>
      <w:color w:val="4F81BD" w:themeColor="accent1"/>
      <w:sz w:val="22"/>
      <w:szCs w:val="22"/>
    </w:rPr>
  </w:style>
  <w:style w:type="character" w:customStyle="1" w:styleId="refname">
    <w:name w:val="refname"/>
    <w:basedOn w:val="DefaultParagraphFont"/>
    <w:rsid w:val="001C4963"/>
  </w:style>
  <w:style w:type="character" w:styleId="Hyperlink">
    <w:name w:val="Hyperlink"/>
    <w:basedOn w:val="DefaultParagraphFont"/>
    <w:rsid w:val="00D47F03"/>
    <w:rPr>
      <w:color w:val="0000FF" w:themeColor="hyperlink"/>
      <w:u w:val="single"/>
    </w:rPr>
  </w:style>
  <w:style w:type="paragraph" w:customStyle="1" w:styleId="subsubhead">
    <w:name w:val="sub sub head"/>
    <w:basedOn w:val="Normal"/>
    <w:rsid w:val="00D47F03"/>
    <w:pPr>
      <w:spacing w:before="120" w:line="280" w:lineRule="exact"/>
    </w:pPr>
    <w:rPr>
      <w:rFonts w:eastAsia="Times"/>
      <w:color w:val="000000"/>
      <w:sz w:val="24"/>
      <w:szCs w:val="20"/>
      <w:lang w:val="en-US"/>
    </w:rPr>
  </w:style>
  <w:style w:type="paragraph" w:customStyle="1" w:styleId="orderform">
    <w:name w:val="order form"/>
    <w:basedOn w:val="Normal"/>
    <w:rsid w:val="00D47F03"/>
    <w:pPr>
      <w:tabs>
        <w:tab w:val="left" w:leader="dot" w:pos="5103"/>
        <w:tab w:val="left" w:leader="dot" w:pos="9639"/>
      </w:tabs>
      <w:spacing w:before="160" w:line="240" w:lineRule="exact"/>
    </w:pPr>
    <w:rPr>
      <w:rFonts w:eastAsia="Time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anne.lucking@icae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DC1A0-B0EE-4B30-A752-037B7DC8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D73772F5.dotm</Template>
  <TotalTime>2</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Lucy Armstrong</vt:lpstr>
    </vt:vector>
  </TitlesOfParts>
  <Company>ICAEW</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Lucy Armstrong</dc:title>
  <dc:creator>Alison Tait</dc:creator>
  <cp:lastModifiedBy>Joanne Lucking</cp:lastModifiedBy>
  <cp:revision>4</cp:revision>
  <dcterms:created xsi:type="dcterms:W3CDTF">2014-03-28T14:42:00Z</dcterms:created>
  <dcterms:modified xsi:type="dcterms:W3CDTF">2014-05-23T10:16:00Z</dcterms:modified>
</cp:coreProperties>
</file>